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70" w:type="dxa"/>
        <w:tblInd w:w="4569" w:type="dxa"/>
        <w:tblLayout w:type="fixed"/>
        <w:tblLook w:val="01E0" w:firstRow="1" w:lastRow="1" w:firstColumn="1" w:lastColumn="1" w:noHBand="0" w:noVBand="0"/>
      </w:tblPr>
      <w:tblGrid>
        <w:gridCol w:w="4870"/>
      </w:tblGrid>
      <w:tr w:rsidR="00D26FDD">
        <w:trPr>
          <w:trHeight w:val="2268"/>
        </w:trPr>
        <w:tc>
          <w:tcPr>
            <w:tcW w:w="4870" w:type="dxa"/>
          </w:tcPr>
          <w:p w:rsidR="00D26FDD" w:rsidRDefault="00AA4903">
            <w:pPr>
              <w:keepNext/>
              <w:keepLines/>
              <w:widowControl w:val="0"/>
              <w:suppressLineNumbers/>
              <w:spacing w:beforeAutospacing="0" w:afterAutospacing="0" w:line="276" w:lineRule="auto"/>
              <w:jc w:val="right"/>
              <w:rPr>
                <w:rFonts w:ascii="PT Astra Serif" w:hAnsi="PT Astra Serif"/>
                <w:sz w:val="24"/>
                <w:lang w:val="ru-RU" w:eastAsia="ru-RU"/>
              </w:rPr>
            </w:pPr>
            <w:r>
              <w:rPr>
                <w:rFonts w:ascii="PT Astra Serif" w:hAnsi="PT Astra Serif"/>
                <w:noProof/>
                <w:sz w:val="24"/>
                <w:lang w:val="ru-RU" w:eastAsia="ru-RU"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margin">
                    <wp:align>center</wp:align>
                  </wp:positionH>
                  <wp:positionV relativeFrom="paragraph">
                    <wp:posOffset>635</wp:posOffset>
                  </wp:positionV>
                  <wp:extent cx="2955290" cy="2282825"/>
                  <wp:effectExtent l="0" t="0" r="0" b="0"/>
                  <wp:wrapSquare wrapText="largest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290" cy="2282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26FDD" w:rsidRDefault="00D26FDD">
      <w:pPr>
        <w:spacing w:beforeAutospacing="0" w:afterAutospacing="0"/>
        <w:jc w:val="right"/>
        <w:rPr>
          <w:rFonts w:ascii="PT Astra Serif" w:hAnsi="PT Astra Serif"/>
          <w:b/>
          <w:bCs/>
          <w:color w:val="000000"/>
          <w:sz w:val="28"/>
          <w:szCs w:val="24"/>
          <w:lang w:val="ru-RU"/>
        </w:rPr>
      </w:pPr>
    </w:p>
    <w:p w:rsidR="00D26FDD" w:rsidRDefault="00D26FDD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26FDD" w:rsidRDefault="00D26FDD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26FDD" w:rsidRDefault="00D26FDD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26FDD" w:rsidRDefault="00D26FDD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26FDD" w:rsidRDefault="00D26FDD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26FDD" w:rsidRDefault="00D26FDD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26FDD" w:rsidRDefault="00D26FDD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26FDD" w:rsidRDefault="00D26FDD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26FDD" w:rsidRDefault="00D26FDD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26FDD" w:rsidRDefault="00D26FDD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26FDD" w:rsidRDefault="00D26FDD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26FDD" w:rsidRDefault="00AA4903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ИЗВЕЩЕНИЕ </w:t>
      </w:r>
    </w:p>
    <w:p w:rsidR="00D26FDD" w:rsidRDefault="00AA4903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об осуществлен</w:t>
      </w:r>
      <w:proofErr w:type="gramStart"/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ии ау</w:t>
      </w:r>
      <w:proofErr w:type="gramEnd"/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кциона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</w:t>
      </w:r>
    </w:p>
    <w:p w:rsidR="00D26FDD" w:rsidRDefault="00AA4903">
      <w:pPr>
        <w:spacing w:beforeAutospacing="0" w:afterAutospacing="0"/>
        <w:jc w:val="center"/>
        <w:rPr>
          <w:rFonts w:ascii="PT Astra Serif" w:hAnsi="PT Astra Serif"/>
          <w:b/>
          <w:bCs/>
          <w:vertAlign w:val="superscript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на </w:t>
      </w:r>
      <w:r>
        <w:rPr>
          <w:rFonts w:ascii="PT Astra Serif" w:hAnsi="PT Astra Serif"/>
          <w:b/>
          <w:bCs/>
          <w:sz w:val="24"/>
          <w:u w:val="single"/>
          <w:lang w:val="ru-RU"/>
        </w:rPr>
        <w:t xml:space="preserve">оказание услуг по техническому </w:t>
      </w:r>
      <w:r>
        <w:rPr>
          <w:rFonts w:ascii="PT Astra Serif" w:hAnsi="PT Astra Serif"/>
          <w:b/>
          <w:bCs/>
          <w:sz w:val="24"/>
          <w:u w:val="single"/>
          <w:lang w:val="ru-RU"/>
        </w:rPr>
        <w:t>обслуживанию систем кондиционирования</w:t>
      </w:r>
      <w:r>
        <w:rPr>
          <w:rFonts w:ascii="PT Astra Serif" w:hAnsi="PT Astra Serif"/>
          <w:b/>
          <w:bCs/>
          <w:lang w:val="ru-RU"/>
        </w:rPr>
        <w:br/>
      </w:r>
      <w:r>
        <w:rPr>
          <w:rFonts w:ascii="PT Astra Serif" w:hAnsi="PT Astra Serif"/>
          <w:b/>
          <w:bCs/>
          <w:vertAlign w:val="superscript"/>
          <w:lang w:val="ru-RU"/>
        </w:rPr>
        <w:t xml:space="preserve"> (</w:t>
      </w:r>
      <w:r>
        <w:rPr>
          <w:rFonts w:ascii="PT Astra Serif" w:hAnsi="PT Astra Serif"/>
          <w:b/>
          <w:bCs/>
          <w:i/>
          <w:vertAlign w:val="superscript"/>
          <w:lang w:val="ru-RU"/>
        </w:rPr>
        <w:t>указать предмет контракта</w:t>
      </w:r>
      <w:r>
        <w:rPr>
          <w:rFonts w:ascii="PT Astra Serif" w:hAnsi="PT Astra Serif"/>
          <w:b/>
          <w:bCs/>
          <w:vertAlign w:val="superscript"/>
          <w:lang w:val="ru-RU"/>
        </w:rPr>
        <w:t>)</w:t>
      </w:r>
    </w:p>
    <w:p w:rsidR="00D26FDD" w:rsidRDefault="00AA4903">
      <w:pPr>
        <w:spacing w:beforeAutospacing="0" w:afterAutospacing="0"/>
        <w:rPr>
          <w:rFonts w:ascii="PT Astra Serif" w:hAnsi="PT Astra Serif"/>
          <w:b/>
          <w:bCs/>
          <w:vertAlign w:val="superscript"/>
          <w:lang w:val="ru-RU"/>
        </w:rPr>
      </w:pPr>
      <w:r w:rsidRPr="00AA4903">
        <w:rPr>
          <w:lang w:val="ru-RU"/>
        </w:rPr>
        <w:br w:type="page"/>
      </w:r>
    </w:p>
    <w:tbl>
      <w:tblPr>
        <w:tblW w:w="10407" w:type="dxa"/>
        <w:tblInd w:w="-4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6"/>
        <w:gridCol w:w="3252"/>
        <w:gridCol w:w="6529"/>
      </w:tblGrid>
      <w:tr w:rsidR="00D26FDD">
        <w:trPr>
          <w:trHeight w:val="71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6FDD" w:rsidRDefault="00AA4903">
            <w:pPr>
              <w:pageBreakBefore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№ пункта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pStyle w:val="12"/>
              <w:keepNext/>
              <w:keepLines/>
              <w:suppressLineNumbers/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Информация</w:t>
            </w:r>
          </w:p>
        </w:tc>
      </w:tr>
      <w:tr w:rsidR="00D26FDD" w:rsidRPr="00AA4903">
        <w:trPr>
          <w:trHeight w:val="234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Заказчик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Наименование:</w:t>
            </w:r>
            <w:r>
              <w:rPr>
                <w:rFonts w:ascii="PT Astra Serif" w:hAnsi="PT Astra Serif"/>
                <w:szCs w:val="22"/>
              </w:rPr>
              <w:t xml:space="preserve"> Администрация </w:t>
            </w:r>
            <w:proofErr w:type="spellStart"/>
            <w:r>
              <w:rPr>
                <w:rFonts w:ascii="PT Astra Serif" w:hAnsi="PT Astra Serif"/>
                <w:szCs w:val="22"/>
              </w:rPr>
              <w:t>г</w:t>
            </w:r>
            <w:proofErr w:type="gramStart"/>
            <w:r>
              <w:rPr>
                <w:rFonts w:ascii="PT Astra Serif" w:hAnsi="PT Astra Serif"/>
                <w:szCs w:val="22"/>
              </w:rPr>
              <w:t>.Ю</w:t>
            </w:r>
            <w:proofErr w:type="gramEnd"/>
            <w:r>
              <w:rPr>
                <w:rFonts w:ascii="PT Astra Serif" w:hAnsi="PT Astra Serif"/>
                <w:szCs w:val="22"/>
              </w:rPr>
              <w:t>горска</w:t>
            </w:r>
            <w:proofErr w:type="spellEnd"/>
            <w:r>
              <w:rPr>
                <w:rFonts w:ascii="PT Astra Serif" w:hAnsi="PT Astra Serif"/>
                <w:szCs w:val="22"/>
              </w:rPr>
              <w:t>.</w:t>
            </w:r>
          </w:p>
          <w:p w:rsidR="00D26FDD" w:rsidRDefault="00AA4903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proofErr w:type="gramStart"/>
            <w:r>
              <w:rPr>
                <w:rFonts w:ascii="PT Astra Serif" w:hAnsi="PT Astra Serif"/>
                <w:b/>
                <w:szCs w:val="22"/>
              </w:rPr>
              <w:t>Место нахождения</w:t>
            </w:r>
            <w:r>
              <w:rPr>
                <w:rFonts w:ascii="PT Astra Serif" w:hAnsi="PT Astra Serif"/>
                <w:szCs w:val="22"/>
              </w:rPr>
              <w:t xml:space="preserve">: 628260, Ханты-Мансийский автономный округ – Югра, г. </w:t>
            </w:r>
            <w:proofErr w:type="spellStart"/>
            <w:r>
              <w:rPr>
                <w:rFonts w:ascii="PT Astra Serif" w:hAnsi="PT Astra Serif"/>
                <w:szCs w:val="22"/>
              </w:rPr>
              <w:t>Югорск</w:t>
            </w:r>
            <w:proofErr w:type="spellEnd"/>
            <w:r>
              <w:rPr>
                <w:rFonts w:ascii="PT Astra Serif" w:hAnsi="PT Astra Serif"/>
                <w:szCs w:val="22"/>
              </w:rPr>
              <w:t>, ул.40 лет Победы, д.11</w:t>
            </w:r>
            <w:proofErr w:type="gramEnd"/>
          </w:p>
          <w:p w:rsidR="00D26FDD" w:rsidRDefault="00AA4903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proofErr w:type="gramStart"/>
            <w:r>
              <w:rPr>
                <w:rFonts w:ascii="PT Astra Serif" w:hAnsi="PT Astra Serif"/>
                <w:b/>
                <w:szCs w:val="22"/>
              </w:rPr>
              <w:t>Почтовый адрес</w:t>
            </w:r>
            <w:r>
              <w:rPr>
                <w:rFonts w:ascii="PT Astra Serif" w:hAnsi="PT Astra Serif"/>
                <w:szCs w:val="22"/>
              </w:rPr>
              <w:t xml:space="preserve">: 628260, Ханты-Мансийский автономный округ – Югра, г. </w:t>
            </w:r>
            <w:proofErr w:type="spellStart"/>
            <w:r>
              <w:rPr>
                <w:rFonts w:ascii="PT Astra Serif" w:hAnsi="PT Astra Serif"/>
                <w:szCs w:val="22"/>
              </w:rPr>
              <w:t>Югорск</w:t>
            </w:r>
            <w:proofErr w:type="spellEnd"/>
            <w:r>
              <w:rPr>
                <w:rFonts w:ascii="PT Astra Serif" w:hAnsi="PT Astra Serif"/>
                <w:szCs w:val="22"/>
              </w:rPr>
              <w:t>, ул.40 лет Победы, д.11</w:t>
            </w:r>
            <w:proofErr w:type="gramEnd"/>
          </w:p>
          <w:p w:rsidR="00D26FDD" w:rsidRDefault="00AA4903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Адрес электронной почты</w:t>
            </w:r>
            <w:r>
              <w:rPr>
                <w:rFonts w:ascii="PT Astra Serif" w:hAnsi="PT Astra Serif"/>
                <w:szCs w:val="22"/>
              </w:rPr>
              <w:t>: inform@ugorsk.ru.</w:t>
            </w:r>
          </w:p>
          <w:p w:rsidR="00D26FDD" w:rsidRDefault="00AA4903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Номер контрактного телефона</w:t>
            </w:r>
            <w:r>
              <w:rPr>
                <w:rFonts w:ascii="PT Astra Serif" w:hAnsi="PT Astra Serif"/>
                <w:szCs w:val="22"/>
              </w:rPr>
              <w:t>: 8 (34675) 7-70-00, доб.240.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lang w:val="ru-RU"/>
              </w:rPr>
              <w:t>Ответственное должностное лицо</w:t>
            </w:r>
            <w:r>
              <w:rPr>
                <w:rFonts w:ascii="PT Astra Serif" w:hAnsi="PT Astra Serif"/>
                <w:sz w:val="24"/>
                <w:lang w:val="ru-RU"/>
              </w:rPr>
              <w:t xml:space="preserve">: специалист-эксперт </w:t>
            </w:r>
            <w:r>
              <w:rPr>
                <w:rFonts w:ascii="PT Astra Serif" w:hAnsi="PT Astra Serif"/>
                <w:sz w:val="24"/>
                <w:lang w:val="ru-RU"/>
              </w:rPr>
              <w:t xml:space="preserve">управления информационных технологий </w:t>
            </w:r>
            <w:proofErr w:type="spellStart"/>
            <w:r>
              <w:rPr>
                <w:rFonts w:ascii="PT Astra Serif" w:hAnsi="PT Astra Serif"/>
                <w:sz w:val="24"/>
                <w:lang w:val="ru-RU"/>
              </w:rPr>
              <w:t>Дергилев</w:t>
            </w:r>
            <w:proofErr w:type="spellEnd"/>
            <w:r>
              <w:rPr>
                <w:rFonts w:ascii="PT Astra Serif" w:hAnsi="PT Astra Serif"/>
                <w:sz w:val="24"/>
                <w:lang w:val="ru-RU"/>
              </w:rPr>
              <w:t xml:space="preserve"> Олег Владимирович.</w:t>
            </w:r>
          </w:p>
        </w:tc>
      </w:tr>
      <w:tr w:rsidR="00D26FDD" w:rsidRPr="00AA4903">
        <w:trPr>
          <w:trHeight w:val="234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Уполномоченный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орган</w:t>
            </w:r>
            <w:proofErr w:type="spellEnd"/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Администрация города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Югорска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.</w:t>
            </w:r>
          </w:p>
          <w:p w:rsidR="00D26FDD" w:rsidRDefault="00AA4903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Место нахождения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628260, Ханты - Мансийский автономный округ - Югра, Тюменская обл., 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Югорск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, ул. 40 лет Победы, 11,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каб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. 310.</w:t>
            </w:r>
            <w:proofErr w:type="gramEnd"/>
          </w:p>
          <w:p w:rsidR="00D26FDD" w:rsidRDefault="00AA4903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 xml:space="preserve">Почтовый адрес: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628260, Ханты - Мансийский автономный округ - Югра, Тюменская обл., 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Югорск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, ул. 40 лет Победы, 11.</w:t>
            </w:r>
            <w:proofErr w:type="gramEnd"/>
          </w:p>
          <w:p w:rsidR="00D26FDD" w:rsidRDefault="00AA4903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Телефон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(34675) 7-71-12, доб.217.</w:t>
            </w:r>
          </w:p>
          <w:p w:rsidR="00D26FDD" w:rsidRDefault="00AA4903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Адрес электронной почты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omz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@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ugorsk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ru</w:t>
            </w:r>
            <w:proofErr w:type="spellEnd"/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Ответственное должностное лицо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: начальник отдела муни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ципальных закупок Департамента экономического развития и проектного управления Абдуллаева Ольга Сергеевна.</w:t>
            </w:r>
          </w:p>
        </w:tc>
      </w:tr>
      <w:tr w:rsidR="00D26FDD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99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Идентификационный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код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263862200236886220100101630013312244</w:t>
            </w:r>
          </w:p>
        </w:tc>
      </w:tr>
      <w:tr w:rsidR="00D26FDD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Способ определения поставщика (подрядчика, исполнителя)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Электронный аукцион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Адрес электронной площадки в информационно-телекоммуникационной сети Интернет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Акционерное общество «Сбербанк - Автоматизированная система торгов»</w:t>
            </w:r>
          </w:p>
          <w:p w:rsidR="00D26FDD" w:rsidRDefault="00AA4903">
            <w:pPr>
              <w:spacing w:beforeAutospacing="0" w:afterAutospacing="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http://www.sberbank-ast.ru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объекта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>Аукцион в электронной форме среди субъектов мало</w:t>
            </w:r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>го предпринимательства и социально ориентированных некоммерческих организаций на право заключения муниципального контракта на оказание услуг по техническому обслуживанию систем кондиционирования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Информация при осуществлении закупки выполнения работы или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оказания услуги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Информация об объекте закупки отражена в Приложении 1 к извещению об осуществлении закупки «Описание объекта закупки»</w:t>
            </w:r>
          </w:p>
        </w:tc>
      </w:tr>
      <w:tr w:rsidR="00D26FDD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Срок исполнения контракта (отдельных этапов исполнения контракта, если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проектом контракта предусмотрены такие этапы)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>Срок оказания услуг – с момента заключения муниципального контракта по 30.11.2027.</w:t>
            </w:r>
          </w:p>
          <w:p w:rsidR="00D26FDD" w:rsidRDefault="00AA4903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Начало исполнения контракта: </w:t>
            </w:r>
            <w:proofErr w:type="gramStart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 даты заключения</w:t>
            </w:r>
            <w:proofErr w:type="gramEnd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>муниципального контракта.</w:t>
            </w:r>
          </w:p>
          <w:p w:rsidR="00D26FDD" w:rsidRDefault="00AA4903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Срок окончания исполнения контракта: 27.12.2027.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Начальная (максимальная) цена контракта (цена от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дельных этапов исполнения контракта, если проектом контракта предусмотрены такие этапы)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lang w:val="ru-RU"/>
              </w:rPr>
              <w:t>64 000 (шестьдесят четыре тысячи) рублей 00 копеек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Источник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финансирования</w:t>
            </w:r>
            <w:proofErr w:type="spellEnd"/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Бюджет города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Югорска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 на 2027 год (Муниципальная программа города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Югорска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 «Развитие инфор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мационного общества»)</w:t>
            </w:r>
          </w:p>
        </w:tc>
      </w:tr>
      <w:tr w:rsidR="00D26FDD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валюты в соответствии с общероссийским классификатором валют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6"/>
                <w:lang w:val="ru-RU" w:eastAsia="ru-RU"/>
              </w:rPr>
              <w:t>российский рубль</w:t>
            </w:r>
          </w:p>
        </w:tc>
      </w:tr>
      <w:tr w:rsidR="00D26FDD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12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Размер аванса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rPr>
                <w:rFonts w:ascii="PT Astra Serif" w:hAnsi="PT Astra Serif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 предусмотрен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13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after="28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Требования, предъявляемые к участникам закупки в соответствии с частью 1 статьи 31 Закона о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контрактной системе</w:t>
            </w:r>
          </w:p>
          <w:p w:rsidR="00D26FDD" w:rsidRDefault="00D26FDD">
            <w:pPr>
              <w:spacing w:before="280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Участник закупки должен соответствовать требованиям: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1)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которые являются объектом закупки;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непроведение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 открытии конкурсного производства;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3)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неприостановление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деятельности участника закупки в порядке, установленном Кодексом об административных правонарушениях;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4) отсутствие у участника закупки недоимки по налогам, сборам, задолженности по иным обязательны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ованы в соответствии с законодательством Российской Федерации, по которым имеется вступившее в законную силу решение суда о признании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обязанности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заявителя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по уплате этих сумм исполненной или которые признаны безнадёжными к взысканию в соответствии с закон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одательством Российской Федерации о налогах и сборах) за прошедший календарный год, размер которых превышает 25 % балансовой стоимости активов участника закупки, по данным бухгалтерской отчётности за последний отчётный период. Участник закупки считается со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ответствующим установленному требованию в случае, если им в установленном порядке подано заявление об обжаловании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указанных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недоимки, задолженности 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решение по такому заявлению на дату рассмотрения заявки на участие в определении поставщика (подрядчика, 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сполнителя) не принято;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5) отсутствие у участника закупки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тника закупки судимости за преступления в сфере экономики и (или) преступления, предусмотренные статьями 289, 290, 291, 291.1 Уголовного кодекса (за исключением лиц, у которых такая судимость погашена или снята), а также неприменение в отношении указанных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го наказания в виде дисквалификации;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усмотренного статьёй 19.28 Кодекса Российской Федерации об административных правонарушениях;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8) отсутствие обстоятельств, при которых должностное лицо заказчик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 (руководитель заказчика, член комиссии по осуществлению закупок, руководитель контрактной службы заказчика, контрактный управляющий), его супруг (супруга), близкий родственник по прямой восходящей или нисходящей линии (отец, мать, дедушка,  бабушка, сын,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дочь,  внук,  внучка), полнородный или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неполнородный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(имеющий общих с должностным лицом заказчика отца или мать) брат (сестра), лицо, усыновлённое должностным лицом заказчика, либо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усыновитель этого должностного лица заказчика является: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а) физическим лицо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м (в том числе зарегистрированным в качестве индивидуального предпринимателя), являющимся участником закупки;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б) руководителем, единоличным исполнительным органом, членом коллегиального исполнительного органа, учредителем, членом коллегиального органа унит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арной организации, являющейся участником закупки;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в) единоличным исполнительным органом, членом коллегиального исполнительного органа, членом коллегиального органа управления, выгодоприобретателем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корпоративного юридического лица, являющегося участником за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купки.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Выгодоприобретателем для целей настоящего пункта является физическое лицо, которое владеет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хозяйственного товарищества или общества;</w:t>
            </w:r>
            <w:proofErr w:type="gramEnd"/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9) участник закупки не является офшорной компанией, не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 несколько юридических лиц) более чем десятью процентами голосующих акций хозяйственного общества либо долей, превышающей десять процентов 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уставном (складочном)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капитале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хозяйственного товарищества или общества;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10) участник закупки не является иностран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ным агентом;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11) отсутствие у участника закупки ограничений для участия в закупках, установленных законодательством Российской Федерации</w:t>
            </w:r>
          </w:p>
        </w:tc>
      </w:tr>
      <w:tr w:rsidR="00D26FDD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Требования, предъявляемые к участникам закупки в соответствии с частями 2 и 2.1 (при наличии таких требований)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статьи 31 Закона о контрактной системе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jc w:val="both"/>
              <w:rPr>
                <w:rFonts w:ascii="PT Astra Serif" w:hAnsi="PT Astra Serif"/>
                <w:i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Не установлено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Перечень документов, которые подтверждают соответствие участника закупки требованиям, установленным в извещении о закупке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i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Установлено в соответствии с Приложением 3 к извещению о проведении закупки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Требования, предъявляемые к участникам закупки в соответствии с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1.1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31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 (при наличии такого требования)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Отсутствие в реестре недобросовестных поставщиков (подрядчиков, исполнителей) информации об участнике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закупки, в том числе информации о лицах, информация о которых содержится в заявке на участие в закупке в соответствии с подпунктом «в» пункта 1 части 1 статьи 43 Закона о контрактной системе, если Правительством Российской Федерации не установлено иное.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Преимущества в соответствии со статьями 28 и 29 Закона о контрактной системе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Преимущества учреждениям и предприятиям уголовно-исполнительной системы: </w:t>
            </w:r>
            <w:r>
              <w:rPr>
                <w:rFonts w:ascii="PT Astra Serif" w:hAnsi="PT Astra Serif"/>
                <w:sz w:val="24"/>
                <w:lang w:val="ru-RU"/>
              </w:rPr>
              <w:t>не предоставляются.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Преимущества организациям инвалидов: </w:t>
            </w:r>
            <w:r>
              <w:rPr>
                <w:rFonts w:ascii="PT Astra Serif" w:hAnsi="PT Astra Serif"/>
                <w:sz w:val="24"/>
                <w:lang w:val="ru-RU"/>
              </w:rPr>
              <w:t>не предоставляются.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Преимущества участия в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 xml:space="preserve">определении поставщика (подрядчика, исполнителя) в соответствии с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30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lang w:val="ru-RU"/>
              </w:rPr>
              <w:lastRenderedPageBreak/>
              <w:t xml:space="preserve">Участниками закупки могут быть только субъекты малого </w:t>
            </w:r>
            <w:r>
              <w:rPr>
                <w:rFonts w:ascii="PT Astra Serif" w:hAnsi="PT Astra Serif"/>
                <w:color w:val="000099"/>
                <w:sz w:val="24"/>
                <w:lang w:val="ru-RU"/>
              </w:rPr>
              <w:lastRenderedPageBreak/>
              <w:t>предпринимательства и социально ориентированные некоммерческие ор</w:t>
            </w:r>
            <w:r>
              <w:rPr>
                <w:rFonts w:ascii="PT Astra Serif" w:hAnsi="PT Astra Serif"/>
                <w:color w:val="000099"/>
                <w:sz w:val="24"/>
                <w:lang w:val="ru-RU"/>
              </w:rPr>
              <w:t>ганизации</w:t>
            </w:r>
          </w:p>
        </w:tc>
      </w:tr>
      <w:tr w:rsidR="00D26FDD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Требование, установленное в соответствии с частью 5 статьи 30 Закона о контрактной системе, с указанием в соответствии с частью 6 статьи 30 Закона о контрактной системе объёма привлечения к исполнению контрактов субподрядчиков, соисполнителей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 у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становлено</w:t>
            </w:r>
            <w:proofErr w:type="spellEnd"/>
          </w:p>
        </w:tc>
      </w:tr>
      <w:tr w:rsidR="00D26FDD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Запрет или ограничение закупок товаров (в том числе поставляемых при выполнении закупаемых работ, оказании закупаемых услуг), происходящ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их из иностранных государств, работ, услуг, соответственно выполняемых, оказываемых иностранными лицами,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, услуг, соответственно выполняемых, оказываемых российскими лицами, в случае, если такие запрет, ограничение, преимущество установлены 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соответствии с пунктом 1 части 2 статьи 14 Закона о контрактной системе в отношении товара (в том числе поставляемого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при выполнении закупаемой работы, оказании закупаемой услуги), работы, услуги,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являющихся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объектом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закупки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>Не установлено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Размер обеспечения заявки на участие в закупке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ind w:firstLine="340"/>
              <w:jc w:val="both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Размер обеспечения заявки на участие в закупке установлен в размере 1% от начальной (максимальной) цены контракта, что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составляет 640 (шестьсот сорок)  рублей 00 копеек.</w:t>
            </w:r>
          </w:p>
          <w:p w:rsidR="00D26FDD" w:rsidRDefault="00AA4903">
            <w:pPr>
              <w:spacing w:beforeAutospacing="0" w:afterAutospacing="0"/>
              <w:ind w:firstLine="34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Предприятия уголовно-исполнительной системы, организации инвалидов, предусмотренные ча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стью 2 статьи 29 Закона о контрактной системе, предоставляют обеспечение заявки на участие в закупке в размере 1/2 процента начальной (максимальной) цены контракта. Государственные, муниципальные учреждения не предоставляют обеспечение подаваемых ими заяво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к на участие в закупках.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Порядок внесения денежных сре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дств в 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ачестве обеспечения заявок на участие в закупке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Обеспечение заявки на участие в закупке предоставляется в размере, указанном в предыдущем пункте одним из следующих способов:</w:t>
            </w:r>
          </w:p>
          <w:p w:rsidR="00D26FDD" w:rsidRDefault="00AA4903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путём блокиро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вания денежных средств на банковском счёте, открытом таким участником в банке, включённом в перечень, утверждённый Правительством Российской Федерации;</w:t>
            </w:r>
          </w:p>
          <w:p w:rsidR="00D26FDD" w:rsidRDefault="00AA4903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путём предоставления независимой гарантии, соответствующей требованиям статьи 45 Закона о контрактной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системе.</w:t>
            </w:r>
          </w:p>
          <w:p w:rsidR="00D26FDD" w:rsidRDefault="00AA4903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Выбор способа обеспечения осуществляется участником закупки самостоятельно. Срок действия независимой гарантии должен составлять не менее месяца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 даты окончания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срока подачи заявок.</w:t>
            </w:r>
          </w:p>
          <w:p w:rsidR="00D26FDD" w:rsidRDefault="00AA4903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Предприятия уголовно-исполнительной системы, организации инвали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дов, предусмотренные частью 2 статьи 29 Закона о контрактной системе, предоставляют обеспечение заявки на участие в закупке в размере одной второй процента начальной (максимальной) цены контракта.</w:t>
            </w:r>
          </w:p>
          <w:p w:rsidR="00D26FDD" w:rsidRDefault="00AA4903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Государственные, муниципальные учреждения не предоставляют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обеспечение подаваемых ими заявок на участие в закупках.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Условия независимой гарантии (если требование обеспечения заявки установлено в соответствии со статьёй 44 Закона о контрактной системе)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Независимая гарантия должна соответствовать требованиям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статьи 45 Закона о контрактной системе</w:t>
            </w:r>
          </w:p>
        </w:tc>
      </w:tr>
      <w:tr w:rsidR="00D26FDD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24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Наименование заказчика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: Администрация города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</w:p>
          <w:p w:rsidR="00D26FDD" w:rsidRPr="00AA4903" w:rsidRDefault="00AA4903">
            <w:pPr>
              <w:spacing w:beforeAutospacing="0" w:afterAutospacing="0"/>
              <w:rPr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Получатель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(Администрация города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, 04873030170), ИНН 8622002368, КПП 862201001.</w:t>
            </w:r>
          </w:p>
          <w:p w:rsidR="00D26FDD" w:rsidRPr="00AA4903" w:rsidRDefault="00AA4903">
            <w:pPr>
              <w:spacing w:beforeAutospacing="0" w:afterAutospacing="0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Банк: ОКЦ №8 УГУ Банка России//УФК по Ханты-Мансийскому автономному округу-Югре г. Ханты-Мансийск,  БИК 007162163,  счет 40102810245370000007,</w:t>
            </w:r>
          </w:p>
          <w:p w:rsidR="00D26FDD" w:rsidRDefault="00AA4903">
            <w:pPr>
              <w:spacing w:beforeAutospacing="0" w:afterAutospacing="0"/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казначейский счет получател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я 03100643000000018700,</w:t>
            </w:r>
          </w:p>
          <w:p w:rsidR="00D26FDD" w:rsidRDefault="00AA4903">
            <w:pPr>
              <w:spacing w:beforeAutospacing="0" w:afterAutospacing="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КБК 040 11610061040000140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Реквизиты счета для перечисления денежных сре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дств в сл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учае, предусмотренном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44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Pr="00AA4903" w:rsidRDefault="00AA490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AA4903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Наименование заказчика: Администрация города </w:t>
            </w:r>
            <w:proofErr w:type="spellStart"/>
            <w:r w:rsidRPr="00AA4903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</w:p>
          <w:p w:rsidR="00D26FDD" w:rsidRPr="00AA4903" w:rsidRDefault="00AA4903">
            <w:pPr>
              <w:spacing w:before="280"/>
              <w:jc w:val="both"/>
              <w:rPr>
                <w:lang w:val="ru-RU"/>
              </w:rPr>
            </w:pPr>
            <w:r w:rsidRPr="00AA4903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Получатель: </w:t>
            </w:r>
            <w:proofErr w:type="spellStart"/>
            <w:r w:rsidRPr="00AA4903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</w:t>
            </w:r>
            <w:proofErr w:type="spellEnd"/>
            <w:r w:rsidRPr="00AA4903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A4903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  <w:r w:rsidRPr="00AA4903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(Администрация города </w:t>
            </w:r>
            <w:proofErr w:type="spellStart"/>
            <w:r w:rsidRPr="00AA4903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  <w:r w:rsidRPr="00AA4903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, 04873030170), ИНН 8622002368, КПП 862201001.</w:t>
            </w:r>
          </w:p>
          <w:p w:rsidR="00D26FDD" w:rsidRPr="00AA4903" w:rsidRDefault="00AA4903">
            <w:pPr>
              <w:spacing w:before="280"/>
              <w:jc w:val="both"/>
              <w:rPr>
                <w:lang w:val="ru-RU"/>
              </w:rPr>
            </w:pPr>
            <w:r w:rsidRPr="00AA4903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Банк: ОКЦ №8 УГУ Банка России //УФК по Ханты-Мансийскому автономному округу-Югре г. Ханты-Мансийск,  БИК 007162163,  счет 40102810245370000007, казначейский счет получателя</w:t>
            </w:r>
            <w:r w:rsidRPr="00AA4903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03100643000000018700, КБК 040 11610061040000140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after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Размер обеспечения исполнения контракта, гарантийных обязательств</w:t>
            </w:r>
          </w:p>
          <w:p w:rsidR="00D26FDD" w:rsidRDefault="00D26FDD">
            <w:pPr>
              <w:spacing w:before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lang w:val="ru-RU"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lang w:val="ru-RU"/>
              </w:rPr>
              <w:t xml:space="preserve">Размер обеспечения исполнения контракта </w:t>
            </w:r>
            <w:r>
              <w:rPr>
                <w:rFonts w:ascii="PT Astra Serif" w:hAnsi="PT Astra Serif"/>
                <w:color w:val="000099"/>
                <w:sz w:val="24"/>
                <w:lang w:val="ru-RU" w:eastAsia="ru-RU"/>
              </w:rPr>
              <w:t>составляет 5% от цены, по которой в соответствии с Законом о контрактной системе, будет заключён</w:t>
            </w:r>
            <w:r>
              <w:rPr>
                <w:rFonts w:ascii="PT Astra Serif" w:hAnsi="PT Astra Serif"/>
                <w:color w:val="000099"/>
                <w:sz w:val="24"/>
                <w:lang w:val="ru-RU" w:eastAsia="ru-RU"/>
              </w:rPr>
              <w:t xml:space="preserve"> контракт.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Если участник закупки, с которым заключается контракт, предложил цену контракта, которая на 25 и более процентов ниже начальной (максимальной) цены контракта, либо предложена сумма цен единиц товара, работы, услуги, которая на 25 и более процент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указанном в части 1 статьи 37 Закона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 контрактной системе, или информации, подтверждающей добросове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стность такого участника в соответствии с частью 3 статьи 37 Закона о контрактной системе, с одновременным предоставлением таким участником обеспечения исполнения контракта в размере обеспечения исполнения контракта, указанном в извещении об осуществлении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закупки.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Размер обеспечения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гарантийных обязательств: не предусмотрено.</w:t>
            </w:r>
          </w:p>
        </w:tc>
      </w:tr>
      <w:tr w:rsidR="00D26FDD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Порядок предоставления обеспечения исполнения контракта, гарантийных обязательств, требования к обеспечению исполнения контракта, гарантийных обязательств (если требование обеспече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ния исполнения контракта, гарантийных обязательств установлено в соответствии со статьёй 96 Закона о контрактной системе)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Участник закупки, с которым заключается контракт, может предоставить обеспечение исполнения контракта, гарантийных обязательств любым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из двух способов: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внесение денежных средств на счёт заказчика,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 xml:space="preserve">Наименование заказчика: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Администрация города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</w:p>
          <w:p w:rsidR="00D26FDD" w:rsidRPr="00AA4903" w:rsidRDefault="00AA4903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 xml:space="preserve">Получатель: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(Администрация города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, 070190000), ИНН 8622002368, КПП 862201001.</w:t>
            </w:r>
          </w:p>
          <w:p w:rsidR="00D26FDD" w:rsidRPr="00AA4903" w:rsidRDefault="00AA4903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Банк:</w:t>
            </w:r>
          </w:p>
          <w:p w:rsidR="00D26FDD" w:rsidRPr="00AA4903" w:rsidRDefault="00AA4903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ОКЦ №8 УГУ Банка России //УФК по Ханты-Мансийскому автономному округу-Югре г. Ханты-Мансийск,  БИК 007162163, счет 40102810245370000007, казначейский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счет получателя 03232643718870008700, КБК 0.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Назначение платежа: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«ИКЗ ___________________ //  Обеспечение исполнения муниципального контракта № ___________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на оказание услуг по техническому обслуживанию систем кондиционирования».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Факт внесения денежных ср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едств на счёт заказчика подтверждается платёжным документом, на основании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которого произведено перечисление средств;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предоставление независимой гарантии, соответствующей требованиям статьи 45 Закона о контрактной системе.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    Способ обеспечения исполне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ния контракта, срок действия независимой гарантии определяются участником закупки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ависимой гарантией, не менее чем на один месяц, в том числе в случае его изменения в соответствии со статьёй 95 Закона о контрактной системе.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Контракт заключается после предоставления участником закупки, обеспечения исполнения контракта в соответствии с За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коном о контрактной системе.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Положения настоящего извещения об обеспечении исполнения контракта, включая положения о предоставлении такого обеспечения с учётом положений статьи 37 Закона о контрактной системе, не применяются в случае: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заключения контрак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та с участником закупки, который является казённым учреждением;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осуществления закупки услуги по предоставлению кредита;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3) заключения бюджетным учреждением, государственным, муниципальным унитарными предприятиями контракта, предметом которого является 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ыдача независимой гарантии.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Участник закупки, с которым заключается контракт по результатам определения поставщика (подрядчика, исполнителя) у СМП, СОНКО, освобождается от предоставления обеспечения исполнения контракта, в соответствии с частью 8.1 статьи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96 Закона о контрактной системе. В ходе исполнения контракта поставщик (подрядчик, исполнитель)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контракта, новое обе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спечение исполнения контракта, в соответствии с частью 7 статьи 96 Закона о контрактной системе.</w:t>
            </w:r>
          </w:p>
        </w:tc>
      </w:tr>
      <w:tr w:rsidR="00D26FDD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Информация о банковском сопровождении контракта в соответствии со статьёй 35 Закона о контрактной системе, о казначейском сопровождении (если в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соответствии с законодательством Российской Федерации расчёты по контракту или расчёты по контракту в части выплаты аванса подлежат казначейскому сопровождению)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lang w:val="ru-RU"/>
              </w:rPr>
            </w:pPr>
            <w:r>
              <w:rPr>
                <w:rFonts w:ascii="PT Astra Serif" w:hAnsi="PT Astra Serif"/>
                <w:sz w:val="24"/>
                <w:lang w:val="ru-RU"/>
              </w:rPr>
              <w:t>Не установлено</w:t>
            </w:r>
          </w:p>
        </w:tc>
      </w:tr>
      <w:tr w:rsidR="00D26FDD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Информация о возможности заказчика заключить контракты, указанные в части 10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статьи 34 Закона о контрактной системе, с несколькими участниками закупки с указанием количества указанных контрактов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lang w:val="ru-RU"/>
              </w:rPr>
            </w:pPr>
            <w:r>
              <w:rPr>
                <w:rFonts w:ascii="PT Astra Serif" w:hAnsi="PT Astra Serif"/>
                <w:sz w:val="24"/>
                <w:lang w:val="ru-RU"/>
              </w:rPr>
              <w:t>Не установлено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30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after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Информация о возможности одностороннего отказа от исполнения контракта в соответствии со статьёй 95 Закона о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контрактной системе</w:t>
            </w:r>
          </w:p>
          <w:p w:rsidR="00D26FDD" w:rsidRDefault="00D26FDD">
            <w:pPr>
              <w:spacing w:before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при условии,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если это было предусмотрено контрактом.</w:t>
            </w:r>
          </w:p>
          <w:p w:rsidR="00D26FDD" w:rsidRDefault="00AA4903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Поставщик (подрядчик, исполнитель)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ния отдельных видов обязательств, если в контракте было предусмотрено право заказчика принять решение об одностороннем отказе от исполнения контракта.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и время окончания срока подачи заявок на участие в закупке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after="28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до 10 часов 00 минут «06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» ноября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2026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г.</w:t>
            </w:r>
          </w:p>
          <w:p w:rsidR="00D26FDD" w:rsidRDefault="00D26FDD">
            <w:pPr>
              <w:spacing w:before="28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</w:tr>
      <w:tr w:rsidR="00D26FDD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проведения процедуры подачи предложений о цене контракта либо о сумме цен единиц товара, работы, услуги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«06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» ноября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2026 г.</w:t>
            </w:r>
          </w:p>
          <w:p w:rsidR="00D26FDD" w:rsidRDefault="00D26FDD">
            <w:pPr>
              <w:spacing w:beforeAutospacing="0" w:afterAutospacing="0"/>
              <w:ind w:left="75" w:right="75"/>
              <w:rPr>
                <w:rFonts w:ascii="PT Astra Serif" w:hAnsi="PT Astra Serif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D26FDD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 w:rsidP="00AA4903">
            <w:pPr>
              <w:spacing w:beforeAutospacing="0" w:afterAutospacing="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«10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» </w:t>
            </w:r>
            <w:bookmarkStart w:id="0" w:name="_GoBack"/>
            <w:bookmarkEnd w:id="0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ноября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2026 г.</w:t>
            </w:r>
          </w:p>
        </w:tc>
      </w:tr>
      <w:tr w:rsidR="00D26FDD" w:rsidRPr="00AA490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FDD" w:rsidRDefault="00AA49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3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Предупреждение об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административной и уголовной ответственности за нарушение требований антимонопольного законодательства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26FDD" w:rsidRDefault="00AA4903">
            <w:pPr>
              <w:spacing w:beforeAutospacing="0" w:afterAutospacing="0"/>
              <w:ind w:left="74" w:right="7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Предупреждаем об административной и уголовной ответственности за нарушение требований антимонопольного законодательства Российской Федерации о запрете у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частия в ограничивающих конкуренцию соглашениях, осуществления ограничивающих конкуренцию согласованных действий.</w:t>
            </w:r>
            <w:proofErr w:type="gramEnd"/>
          </w:p>
        </w:tc>
      </w:tr>
    </w:tbl>
    <w:p w:rsidR="00D26FDD" w:rsidRDefault="00D26FDD">
      <w:pPr>
        <w:spacing w:beforeAutospacing="0" w:after="120" w:afterAutospacing="0"/>
        <w:jc w:val="both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26FDD" w:rsidRDefault="00AA4903">
      <w:pPr>
        <w:spacing w:beforeAutospacing="0" w:after="120" w:afterAutospacing="0"/>
        <w:jc w:val="both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Приложения:</w:t>
      </w:r>
    </w:p>
    <w:p w:rsidR="00D26FDD" w:rsidRDefault="00AA4903">
      <w:pPr>
        <w:spacing w:beforeAutospacing="0" w:after="120" w:afterAutospacing="0"/>
        <w:jc w:val="both"/>
        <w:rPr>
          <w:rFonts w:ascii="PT Astra Serif" w:hAnsi="PT Astra Serif"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1. Описание объекта закупки.</w:t>
      </w:r>
    </w:p>
    <w:p w:rsidR="00D26FDD" w:rsidRDefault="00AA4903">
      <w:pPr>
        <w:spacing w:beforeAutospacing="0" w:after="120" w:afterAutospacing="0"/>
        <w:jc w:val="both"/>
        <w:rPr>
          <w:rFonts w:ascii="PT Astra Serif" w:hAnsi="PT Astra Serif"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2. Обоснование начальной (максимальной) цены контракта.</w:t>
      </w:r>
    </w:p>
    <w:p w:rsidR="00D26FDD" w:rsidRDefault="00AA4903">
      <w:pPr>
        <w:spacing w:beforeAutospacing="0" w:after="120" w:afterAutospacing="0"/>
        <w:ind w:right="-754"/>
        <w:jc w:val="both"/>
        <w:rPr>
          <w:rFonts w:ascii="PT Astra Serif" w:hAnsi="PT Astra Serif"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 xml:space="preserve">Приложение 3. </w:t>
      </w: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Требования к содержанию, составу заявки на участие в закупке в соответствии с Законом о контрактной системе и инструкция по её заполнению.</w:t>
      </w:r>
    </w:p>
    <w:p w:rsidR="00D26FDD" w:rsidRDefault="00AA4903">
      <w:pPr>
        <w:spacing w:beforeAutospacing="0" w:after="120" w:afterAutospacing="0"/>
        <w:jc w:val="both"/>
        <w:rPr>
          <w:rFonts w:ascii="PT Astra Serif" w:hAnsi="PT Astra Serif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4. Проект муниципального контракта.</w:t>
      </w:r>
    </w:p>
    <w:sectPr w:rsidR="00D26FDD">
      <w:footerReference w:type="even" r:id="rId9"/>
      <w:footerReference w:type="default" r:id="rId10"/>
      <w:footerReference w:type="first" r:id="rId11"/>
      <w:pgSz w:w="11906" w:h="16838"/>
      <w:pgMar w:top="567" w:right="1440" w:bottom="1440" w:left="1440" w:header="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A4903">
      <w:r>
        <w:separator/>
      </w:r>
    </w:p>
  </w:endnote>
  <w:endnote w:type="continuationSeparator" w:id="0">
    <w:p w:rsidR="00000000" w:rsidRDefault="00AA4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FDD" w:rsidRDefault="00D26FDD">
    <w:pPr>
      <w:pStyle w:val="a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FDD" w:rsidRDefault="00AA4903">
    <w:pPr>
      <w:pStyle w:val="afe"/>
      <w:spacing w:after="280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10</w:t>
    </w:r>
    <w:r>
      <w:fldChar w:fldCharType="end"/>
    </w:r>
  </w:p>
  <w:p w:rsidR="00D26FDD" w:rsidRDefault="00D26FDD">
    <w:pPr>
      <w:pStyle w:val="afe"/>
      <w:spacing w:after="28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FDD" w:rsidRDefault="00D26FDD">
    <w:pPr>
      <w:pStyle w:val="afe"/>
      <w:spacing w:after="28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A4903">
      <w:r>
        <w:separator/>
      </w:r>
    </w:p>
  </w:footnote>
  <w:footnote w:type="continuationSeparator" w:id="0">
    <w:p w:rsidR="00000000" w:rsidRDefault="00AA49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FDD"/>
    <w:rsid w:val="00AA4903"/>
    <w:rsid w:val="00D2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Autospacing="1" w:afterAutospacing="1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7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character" w:customStyle="1" w:styleId="ab">
    <w:name w:val="Текст сноски Знак"/>
    <w:link w:val="ac"/>
    <w:uiPriority w:val="99"/>
    <w:rPr>
      <w:sz w:val="18"/>
    </w:rPr>
  </w:style>
  <w:style w:type="character" w:customStyle="1" w:styleId="user">
    <w:name w:val="Символ сноски (user)"/>
    <w:basedOn w:val="a0"/>
    <w:uiPriority w:val="99"/>
    <w:unhideWhenUsed/>
    <w:rPr>
      <w:vertAlign w:val="superscript"/>
    </w:rPr>
  </w:style>
  <w:style w:type="character" w:customStyle="1" w:styleId="ad">
    <w:name w:val="Символ сноски"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rPr>
      <w:sz w:val="20"/>
    </w:rPr>
  </w:style>
  <w:style w:type="character" w:customStyle="1" w:styleId="user0">
    <w:name w:val="Символ концевой сноски (user)"/>
    <w:basedOn w:val="a0"/>
    <w:uiPriority w:val="99"/>
    <w:semiHidden/>
    <w:unhideWhenUsed/>
    <w:rPr>
      <w:vertAlign w:val="superscript"/>
    </w:rPr>
  </w:style>
  <w:style w:type="character" w:customStyle="1" w:styleId="af1">
    <w:name w:val="Символ концевой сноски"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character" w:styleId="af4">
    <w:name w:val="annotation reference"/>
    <w:uiPriority w:val="99"/>
    <w:semiHidden/>
    <w:unhideWhenUsed/>
    <w:rPr>
      <w:sz w:val="16"/>
      <w:szCs w:val="16"/>
    </w:rPr>
  </w:style>
  <w:style w:type="character" w:customStyle="1" w:styleId="af5">
    <w:name w:val="Текст примечания Знак"/>
    <w:link w:val="af6"/>
    <w:uiPriority w:val="99"/>
    <w:semiHidden/>
    <w:rPr>
      <w:rFonts w:ascii="Times New Roman" w:eastAsia="Times New Roman" w:hAnsi="Times New Roman"/>
      <w:lang w:val="en-US" w:eastAsia="en-US"/>
    </w:rPr>
  </w:style>
  <w:style w:type="character" w:customStyle="1" w:styleId="af7">
    <w:name w:val="Тема примечания Знак"/>
    <w:link w:val="af8"/>
    <w:uiPriority w:val="99"/>
    <w:semiHidden/>
    <w:rPr>
      <w:rFonts w:ascii="Times New Roman" w:eastAsia="Times New Roman" w:hAnsi="Times New Roman"/>
      <w:b/>
      <w:bCs/>
      <w:lang w:val="en-US" w:eastAsia="en-US"/>
    </w:rPr>
  </w:style>
  <w:style w:type="character" w:customStyle="1" w:styleId="af9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fb">
    <w:name w:val="Верхний колонтитул Знак"/>
    <w:basedOn w:val="a0"/>
    <w:link w:val="afc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d">
    <w:name w:val="Нижний колонтитул Знак"/>
    <w:basedOn w:val="a0"/>
    <w:link w:val="afe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aff">
    <w:name w:val="Заголовок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0">
    <w:name w:val="Body Text"/>
    <w:basedOn w:val="a"/>
    <w:pPr>
      <w:spacing w:after="140" w:line="276" w:lineRule="auto"/>
    </w:pPr>
  </w:style>
  <w:style w:type="paragraph" w:styleId="aff1">
    <w:name w:val="List"/>
    <w:basedOn w:val="aff0"/>
    <w:rPr>
      <w:rFonts w:cs="Lucida Sans"/>
    </w:rPr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f2">
    <w:name w:val="index heading"/>
    <w:basedOn w:val="user1"/>
  </w:style>
  <w:style w:type="paragraph" w:customStyle="1" w:styleId="user1">
    <w:name w:val="Заголовок (user)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2">
    <w:name w:val="Указатель (user)"/>
    <w:basedOn w:val="a"/>
    <w:pPr>
      <w:suppressLineNumbers/>
    </w:pPr>
    <w:rPr>
      <w:rFonts w:cs="Lucida Sans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ff4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5">
    <w:name w:val="TOC Heading"/>
    <w:uiPriority w:val="39"/>
    <w:unhideWhenUsed/>
  </w:style>
  <w:style w:type="paragraph" w:styleId="aff6">
    <w:name w:val="table of figures"/>
    <w:basedOn w:val="a"/>
    <w:next w:val="a"/>
    <w:uiPriority w:val="99"/>
    <w:unhideWhenUsed/>
    <w:pPr>
      <w:spacing w:afterAutospacing="0"/>
    </w:pPr>
  </w:style>
  <w:style w:type="paragraph" w:styleId="af6">
    <w:name w:val="annotation text"/>
    <w:basedOn w:val="a"/>
    <w:link w:val="af5"/>
    <w:uiPriority w:val="99"/>
    <w:semiHidden/>
    <w:unhideWhenUsed/>
    <w:rPr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Pr>
      <w:b/>
      <w:bCs/>
    </w:rPr>
  </w:style>
  <w:style w:type="paragraph" w:styleId="afa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12">
    <w:name w:val="Обычный1"/>
    <w:qFormat/>
    <w:pPr>
      <w:widowControl w:val="0"/>
      <w:tabs>
        <w:tab w:val="left" w:pos="709"/>
      </w:tabs>
      <w:spacing w:after="200" w:line="276" w:lineRule="auto"/>
    </w:pPr>
    <w:rPr>
      <w:rFonts w:ascii="Liberation Serif" w:eastAsia="Times New Roman" w:hAnsi="Liberation Serif"/>
      <w:color w:val="00000A"/>
      <w:sz w:val="24"/>
    </w:rPr>
  </w:style>
  <w:style w:type="paragraph" w:customStyle="1" w:styleId="user3">
    <w:name w:val="Колонтитулы (user)"/>
    <w:basedOn w:val="a"/>
  </w:style>
  <w:style w:type="paragraph" w:customStyle="1" w:styleId="aff7">
    <w:name w:val="Колонтитулы"/>
    <w:basedOn w:val="a"/>
  </w:style>
  <w:style w:type="paragraph" w:styleId="afc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paragraph" w:styleId="afe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numbering" w:customStyle="1" w:styleId="user4">
    <w:name w:val="Без списка (user)"/>
    <w:uiPriority w:val="99"/>
    <w:semiHidden/>
    <w:unhideWhenUsed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Autospacing="1" w:afterAutospacing="1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7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character" w:customStyle="1" w:styleId="ab">
    <w:name w:val="Текст сноски Знак"/>
    <w:link w:val="ac"/>
    <w:uiPriority w:val="99"/>
    <w:rPr>
      <w:sz w:val="18"/>
    </w:rPr>
  </w:style>
  <w:style w:type="character" w:customStyle="1" w:styleId="user">
    <w:name w:val="Символ сноски (user)"/>
    <w:basedOn w:val="a0"/>
    <w:uiPriority w:val="99"/>
    <w:unhideWhenUsed/>
    <w:rPr>
      <w:vertAlign w:val="superscript"/>
    </w:rPr>
  </w:style>
  <w:style w:type="character" w:customStyle="1" w:styleId="ad">
    <w:name w:val="Символ сноски"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rPr>
      <w:sz w:val="20"/>
    </w:rPr>
  </w:style>
  <w:style w:type="character" w:customStyle="1" w:styleId="user0">
    <w:name w:val="Символ концевой сноски (user)"/>
    <w:basedOn w:val="a0"/>
    <w:uiPriority w:val="99"/>
    <w:semiHidden/>
    <w:unhideWhenUsed/>
    <w:rPr>
      <w:vertAlign w:val="superscript"/>
    </w:rPr>
  </w:style>
  <w:style w:type="character" w:customStyle="1" w:styleId="af1">
    <w:name w:val="Символ концевой сноски"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character" w:styleId="af4">
    <w:name w:val="annotation reference"/>
    <w:uiPriority w:val="99"/>
    <w:semiHidden/>
    <w:unhideWhenUsed/>
    <w:rPr>
      <w:sz w:val="16"/>
      <w:szCs w:val="16"/>
    </w:rPr>
  </w:style>
  <w:style w:type="character" w:customStyle="1" w:styleId="af5">
    <w:name w:val="Текст примечания Знак"/>
    <w:link w:val="af6"/>
    <w:uiPriority w:val="99"/>
    <w:semiHidden/>
    <w:rPr>
      <w:rFonts w:ascii="Times New Roman" w:eastAsia="Times New Roman" w:hAnsi="Times New Roman"/>
      <w:lang w:val="en-US" w:eastAsia="en-US"/>
    </w:rPr>
  </w:style>
  <w:style w:type="character" w:customStyle="1" w:styleId="af7">
    <w:name w:val="Тема примечания Знак"/>
    <w:link w:val="af8"/>
    <w:uiPriority w:val="99"/>
    <w:semiHidden/>
    <w:rPr>
      <w:rFonts w:ascii="Times New Roman" w:eastAsia="Times New Roman" w:hAnsi="Times New Roman"/>
      <w:b/>
      <w:bCs/>
      <w:lang w:val="en-US" w:eastAsia="en-US"/>
    </w:rPr>
  </w:style>
  <w:style w:type="character" w:customStyle="1" w:styleId="af9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fb">
    <w:name w:val="Верхний колонтитул Знак"/>
    <w:basedOn w:val="a0"/>
    <w:link w:val="afc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d">
    <w:name w:val="Нижний колонтитул Знак"/>
    <w:basedOn w:val="a0"/>
    <w:link w:val="afe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aff">
    <w:name w:val="Заголовок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0">
    <w:name w:val="Body Text"/>
    <w:basedOn w:val="a"/>
    <w:pPr>
      <w:spacing w:after="140" w:line="276" w:lineRule="auto"/>
    </w:pPr>
  </w:style>
  <w:style w:type="paragraph" w:styleId="aff1">
    <w:name w:val="List"/>
    <w:basedOn w:val="aff0"/>
    <w:rPr>
      <w:rFonts w:cs="Lucida Sans"/>
    </w:rPr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f2">
    <w:name w:val="index heading"/>
    <w:basedOn w:val="user1"/>
  </w:style>
  <w:style w:type="paragraph" w:customStyle="1" w:styleId="user1">
    <w:name w:val="Заголовок (user)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2">
    <w:name w:val="Указатель (user)"/>
    <w:basedOn w:val="a"/>
    <w:pPr>
      <w:suppressLineNumbers/>
    </w:pPr>
    <w:rPr>
      <w:rFonts w:cs="Lucida Sans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ff4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5">
    <w:name w:val="TOC Heading"/>
    <w:uiPriority w:val="39"/>
    <w:unhideWhenUsed/>
  </w:style>
  <w:style w:type="paragraph" w:styleId="aff6">
    <w:name w:val="table of figures"/>
    <w:basedOn w:val="a"/>
    <w:next w:val="a"/>
    <w:uiPriority w:val="99"/>
    <w:unhideWhenUsed/>
    <w:pPr>
      <w:spacing w:afterAutospacing="0"/>
    </w:pPr>
  </w:style>
  <w:style w:type="paragraph" w:styleId="af6">
    <w:name w:val="annotation text"/>
    <w:basedOn w:val="a"/>
    <w:link w:val="af5"/>
    <w:uiPriority w:val="99"/>
    <w:semiHidden/>
    <w:unhideWhenUsed/>
    <w:rPr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Pr>
      <w:b/>
      <w:bCs/>
    </w:rPr>
  </w:style>
  <w:style w:type="paragraph" w:styleId="afa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12">
    <w:name w:val="Обычный1"/>
    <w:qFormat/>
    <w:pPr>
      <w:widowControl w:val="0"/>
      <w:tabs>
        <w:tab w:val="left" w:pos="709"/>
      </w:tabs>
      <w:spacing w:after="200" w:line="276" w:lineRule="auto"/>
    </w:pPr>
    <w:rPr>
      <w:rFonts w:ascii="Liberation Serif" w:eastAsia="Times New Roman" w:hAnsi="Liberation Serif"/>
      <w:color w:val="00000A"/>
      <w:sz w:val="24"/>
    </w:rPr>
  </w:style>
  <w:style w:type="paragraph" w:customStyle="1" w:styleId="user3">
    <w:name w:val="Колонтитулы (user)"/>
    <w:basedOn w:val="a"/>
  </w:style>
  <w:style w:type="paragraph" w:customStyle="1" w:styleId="aff7">
    <w:name w:val="Колонтитулы"/>
    <w:basedOn w:val="a"/>
  </w:style>
  <w:style w:type="paragraph" w:styleId="afc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paragraph" w:styleId="afe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numbering" w:customStyle="1" w:styleId="user4">
    <w:name w:val="Без списка (user)"/>
    <w:uiPriority w:val="99"/>
    <w:semiHidden/>
    <w:unhideWhenUsed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89C02-C0B2-49A9-9E3D-E249F303F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3056</Words>
  <Characters>17420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Наталья Борисовна</dc:creator>
  <dc:description/>
  <cp:lastModifiedBy>Боярищева Татьяна Федоровна</cp:lastModifiedBy>
  <cp:revision>178</cp:revision>
  <cp:lastPrinted>2026-10-19T10:02:00Z</cp:lastPrinted>
  <dcterms:created xsi:type="dcterms:W3CDTF">2022-01-26T11:11:00Z</dcterms:created>
  <dcterms:modified xsi:type="dcterms:W3CDTF">2026-10-29T10:25:00Z</dcterms:modified>
  <dc:language>ru-RU</dc:language>
</cp:coreProperties>
</file>